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tabs>
          <w:tab w:val="left" w:leader="none" w:pos="4536"/>
        </w:tabs>
        <w:spacing w:line="240" w:lineRule="auto"/>
        <w:ind w:left="0" w:firstLine="0"/>
        <w:jc w:val="left"/>
        <w:rPr>
          <w:rFonts w:ascii="Poppins ExtraLight" w:cs="Poppins ExtraLight" w:eastAsia="Poppins ExtraLight" w:hAnsi="Poppins Extra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40" w:before="300" w:lineRule="auto"/>
        <w:jc w:val="center"/>
        <w:rPr>
          <w:rFonts w:ascii="Poppins Light" w:cs="Poppins Light" w:eastAsia="Poppins Light" w:hAnsi="Poppins Light"/>
          <w:b w:val="0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b w:val="0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      </w:t>
      </w:r>
      <w:r w:rsidDel="00000000" w:rsidR="00000000" w:rsidRPr="00000000">
        <w:rPr>
          <w:rtl w:val="0"/>
        </w:rPr>
        <w:t xml:space="preserve">(da riportare su carta intestata dell’operatore economico)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00" w:line="360" w:lineRule="auto"/>
        <w:rPr>
          <w:rFonts w:ascii="Poppins" w:cs="Poppins" w:eastAsia="Poppins" w:hAnsi="Poppins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</w:t>
      </w: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highlight w:val="white"/>
          <w:rtl w:val="0"/>
        </w:rPr>
        <w:t xml:space="preserve">to di servizi in modalità Saas per una piattaforma per l’emissione e gestione di digital credential, secondo lo standard Open Badge</w:t>
      </w:r>
    </w:p>
    <w:p w:rsidR="00000000" w:rsidDel="00000000" w:rsidP="00000000" w:rsidRDefault="00000000" w:rsidRPr="00000000" w14:paraId="00000005">
      <w:pPr>
        <w:spacing w:after="0" w:before="200" w:line="360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6">
      <w:pPr>
        <w:spacing w:after="0" w:before="200" w:line="360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7">
      <w:pPr>
        <w:spacing w:after="0" w:before="2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8">
      <w:pPr>
        <w:spacing w:after="0" w:before="200" w:line="360" w:lineRule="auto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B">
      <w:pPr>
        <w:spacing w:after="0" w:before="2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00" w:line="360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36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E">
      <w:pPr>
        <w:spacing w:after="0" w:before="0" w:line="36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before="0" w:line="36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after="0" w:before="0" w:line="360" w:lineRule="auto"/>
        <w:jc w:val="left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per l’Acquisizione in modalità Saas di una piattaforma per l’emissione e gestione di digital credential secondo lo standard Open Badge, RDOSA_ 2024-004;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AVVSA_ 2024-004;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48000000-8: Software e sistemi informativi.;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</w:t>
      </w:r>
      <w:r w:rsidDel="00000000" w:rsidR="00000000" w:rsidRPr="00000000">
        <w:rPr>
          <w:rFonts w:ascii="Poppins" w:cs="Poppins" w:eastAsia="Poppins" w:hAnsi="Poppins"/>
          <w:sz w:val="20"/>
          <w:szCs w:val="20"/>
          <w:highlight w:val="white"/>
          <w:rtl w:val="0"/>
        </w:rPr>
        <w:t xml:space="preserve">e dichiarazione non costituisce prova del possesso dei requisiti richiesti per l’affidamento del servizio c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="36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before="0" w:lineRule="auto"/>
        <w:ind w:left="6377.952755905511" w:firstLine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before="0" w:lineRule="auto"/>
        <w:ind w:left="6377.952755905511" w:firstLine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before="0" w:lineRule="auto"/>
        <w:ind w:left="6377.952755905511" w:firstLine="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widowControl w:val="0"/>
        <w:spacing w:after="0" w:before="0" w:lineRule="auto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spacing w:after="0" w:before="0" w:lineRule="auto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spacing w:after="0" w:before="0" w:lineRule="auto"/>
        <w:ind w:left="720" w:firstLine="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default"/>
      <w:footerReference r:id="rId9" w:type="first"/>
      <w:footerReference r:id="rId10" w:type="default"/>
      <w:pgSz w:h="16838" w:w="11906" w:orient="portrait"/>
      <w:pgMar w:bottom="1870.8661417322835" w:top="1440.0000000000002" w:left="1020.472440944882" w:right="1020.472440944882" w:header="283.46456692913387" w:footer="170.0787401574803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Extra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after="0" w:before="0" w:lineRule="auto"/>
      <w:ind w:left="-1133.8582677165355" w:firstLine="0"/>
      <w:jc w:val="left"/>
      <w:rPr>
        <w:rFonts w:ascii="Proxima Nova" w:cs="Proxima Nova" w:eastAsia="Proxima Nova" w:hAnsi="Proxima Nova"/>
        <w:color w:val="cccccc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1"/>
      <w:tblW w:w="9900.0" w:type="dxa"/>
      <w:jc w:val="left"/>
      <w:tblInd w:w="-173.8582677165354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60"/>
      <w:gridCol w:w="3810"/>
      <w:gridCol w:w="4230"/>
      <w:tblGridChange w:id="0">
        <w:tblGrid>
          <w:gridCol w:w="1860"/>
          <w:gridCol w:w="3810"/>
          <w:gridCol w:w="4230"/>
        </w:tblGrid>
      </w:tblGridChange>
    </w:tblGrid>
    <w:tr>
      <w:trPr>
        <w:cantSplit w:val="0"/>
        <w:trHeight w:val="102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6">
          <w:pPr>
            <w:widowControl w:val="0"/>
            <w:spacing w:after="0" w:before="0" w:line="240" w:lineRule="auto"/>
            <w:ind w:left="-425.1968503937008" w:firstLine="283.4645669291339"/>
            <w:jc w:val="left"/>
            <w:rPr>
              <w:rFonts w:ascii="Proxima Nova" w:cs="Proxima Nova" w:eastAsia="Proxima Nova" w:hAnsi="Proxima Nova"/>
              <w:color w:val="b7b7b7"/>
              <w:sz w:val="16"/>
              <w:szCs w:val="16"/>
            </w:rPr>
          </w:pPr>
          <w:r w:rsidDel="00000000" w:rsidR="00000000" w:rsidRPr="00000000">
            <w:rPr>
              <w:rFonts w:ascii="Poppins" w:cs="Poppins" w:eastAsia="Poppins" w:hAnsi="Poppins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7">
          <w:pPr>
            <w:widowControl w:val="0"/>
            <w:spacing w:after="0" w:before="0" w:lineRule="auto"/>
            <w:jc w:val="left"/>
            <w:rPr>
              <w:rFonts w:ascii="Proxima Nova" w:cs="Proxima Nova" w:eastAsia="Proxima Nova" w:hAnsi="Proxima Nova"/>
              <w:color w:val="b7b7b7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spacing w:after="0" w:before="0" w:lineRule="auto"/>
            <w:jc w:val="left"/>
            <w:rPr>
              <w:rFonts w:ascii="Poppins" w:cs="Poppins" w:eastAsia="Poppins" w:hAnsi="Poppins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9">
          <w:pPr>
            <w:widowControl w:val="0"/>
            <w:spacing w:after="0" w:before="0" w:line="240" w:lineRule="auto"/>
            <w:jc w:val="left"/>
            <w:rPr>
              <w:rFonts w:ascii="Proxima Nova" w:cs="Proxima Nova" w:eastAsia="Proxima Nova" w:hAnsi="Proxima Nova"/>
              <w:color w:val="b7b7b7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spacing w:after="0" w:before="0" w:lineRule="auto"/>
            <w:jc w:val="righ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spacing w:after="0" w:before="0" w:line="240" w:lineRule="auto"/>
            <w:ind w:left="-1410" w:firstLine="0"/>
            <w:jc w:val="right"/>
            <w:rPr>
              <w:rFonts w:ascii="Poppins" w:cs="Poppins" w:eastAsia="Poppins" w:hAnsi="Poppins"/>
              <w:sz w:val="16"/>
              <w:szCs w:val="16"/>
            </w:rPr>
          </w:pPr>
          <w:r w:rsidDel="00000000" w:rsidR="00000000" w:rsidRPr="00000000">
            <w:rPr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spacing w:after="0" w:before="0" w:line="240" w:lineRule="auto"/>
      <w:ind w:left="-1410" w:firstLine="0"/>
      <w:jc w:val="left"/>
      <w:rPr>
        <w:rFonts w:ascii="Proxima Nova" w:cs="Proxima Nova" w:eastAsia="Proxima Nova" w:hAnsi="Proxima Nova"/>
        <w:color w:val="cccccc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ind w:left="-1133.8582677165355" w:firstLine="0"/>
      <w:jc w:val="left"/>
      <w:rPr>
        <w:rFonts w:ascii="Proxima Nova" w:cs="Proxima Nova" w:eastAsia="Proxima Nova" w:hAnsi="Proxima Nova"/>
        <w:color w:val="cccccc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2"/>
      <w:tblW w:w="10170.0" w:type="dxa"/>
      <w:jc w:val="left"/>
      <w:tblInd w:w="-173.8582677165354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60"/>
      <w:gridCol w:w="4095"/>
      <w:gridCol w:w="4215"/>
      <w:tblGridChange w:id="0">
        <w:tblGrid>
          <w:gridCol w:w="1860"/>
          <w:gridCol w:w="4095"/>
          <w:gridCol w:w="4215"/>
        </w:tblGrid>
      </w:tblGridChange>
    </w:tblGrid>
    <w:tr>
      <w:trPr>
        <w:cantSplit w:val="0"/>
        <w:trHeight w:val="975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425.1968503937008" w:right="0" w:firstLine="283.4645669291339"/>
            <w:jc w:val="left"/>
            <w:rPr>
              <w:rFonts w:ascii="Proxima Nova" w:cs="Proxima Nova" w:eastAsia="Proxima Nova" w:hAnsi="Proxima Nova"/>
              <w:color w:val="b7b7b7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Poppins" w:cs="Poppins" w:eastAsia="Poppins" w:hAnsi="Poppins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6">
          <w:pPr>
            <w:widowControl w:val="0"/>
            <w:spacing w:line="276" w:lineRule="auto"/>
            <w:jc w:val="left"/>
            <w:rPr>
              <w:rFonts w:ascii="Poppins" w:cs="Poppins" w:eastAsia="Poppins" w:hAnsi="Poppins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ind w:left="-1133.8582677165355" w:firstLine="0"/>
      <w:jc w:val="left"/>
      <w:rPr>
        <w:rFonts w:ascii="Proxima Nova" w:cs="Proxima Nova" w:eastAsia="Proxima Nova" w:hAnsi="Proxima Nova"/>
        <w:color w:val="cccccc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ind w:left="1275.5905511811022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ind w:left="1275.5905511811022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-566.9291338582677" w:firstLine="0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pageBreakBefore w:val="0"/>
      <w:ind w:left="1275.5905511811022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ageBreakBefore w:val="0"/>
      <w:ind w:left="1275.5905511811022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ageBreakBefore w:val="0"/>
      <w:ind w:left="-566.9291338582677" w:right="-51.259842519683616" w:firstLine="0"/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oppins Light" w:cs="Poppins Light" w:eastAsia="Poppins Light" w:hAnsi="Poppins Light"/>
        <w:sz w:val="22"/>
        <w:szCs w:val="22"/>
        <w:lang w:val="en"/>
      </w:rPr>
    </w:rPrDefault>
    <w:pPrDefault>
      <w:pPr>
        <w:spacing w:after="120" w:before="6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jc w:val="both"/>
    </w:pPr>
    <w:rPr>
      <w:rFonts w:ascii="Calibri" w:cs="Calibri" w:eastAsia="Calibri" w:hAnsi="Calibri"/>
      <w:b w:val="1"/>
      <w:color w:val="ff9900"/>
      <w:sz w:val="48"/>
      <w:szCs w:val="48"/>
    </w:rPr>
  </w:style>
  <w:style w:type="paragraph" w:styleId="Heading2">
    <w:name w:val="heading 2"/>
    <w:basedOn w:val="Normal"/>
    <w:next w:val="Normal"/>
    <w:pPr>
      <w:pageBreakBefore w:val="0"/>
    </w:pPr>
    <w:rPr>
      <w:rFonts w:ascii="Calibri" w:cs="Calibri" w:eastAsia="Calibri" w:hAnsi="Calibri"/>
      <w:b w:val="1"/>
      <w:color w:val="ff9900"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jc w:val="both"/>
    </w:pPr>
    <w:rPr>
      <w:rFonts w:ascii="Calibri" w:cs="Calibri" w:eastAsia="Calibri" w:hAnsi="Calibri"/>
      <w:b w:val="1"/>
      <w:color w:val="ff99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rFonts w:ascii="Calibri" w:cs="Calibri" w:eastAsia="Calibri" w:hAnsi="Calibri"/>
      <w:b w:val="1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ExtraLight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ExtraLight-italic.ttf"/><Relationship Id="rId14" Type="http://schemas.openxmlformats.org/officeDocument/2006/relationships/font" Target="fonts/PoppinsExtraLight-bold.ttf"/><Relationship Id="rId16" Type="http://schemas.openxmlformats.org/officeDocument/2006/relationships/font" Target="fonts/PoppinsExtraLight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